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5A95" w14:textId="77777777" w:rsidR="00F2190C" w:rsidRDefault="00F2190C" w:rsidP="00F2190C">
      <w:pPr>
        <w:pStyle w:val="BodyText"/>
        <w:ind w:left="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F6EC8DC" wp14:editId="281C5DD0">
            <wp:simplePos x="0" y="0"/>
            <wp:positionH relativeFrom="column">
              <wp:posOffset>-17568</wp:posOffset>
            </wp:positionH>
            <wp:positionV relativeFrom="paragraph">
              <wp:posOffset>4869</wp:posOffset>
            </wp:positionV>
            <wp:extent cx="3236768" cy="1223818"/>
            <wp:effectExtent l="0" t="0" r="190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768" cy="122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br w:type="textWrapping" w:clear="all"/>
      </w:r>
    </w:p>
    <w:p w14:paraId="5B77BFF9" w14:textId="77777777" w:rsidR="00F2190C" w:rsidRDefault="00F2190C" w:rsidP="00F2190C">
      <w:pPr>
        <w:pStyle w:val="BodyText"/>
        <w:spacing w:before="3"/>
        <w:rPr>
          <w:rFonts w:ascii="Times New Roman"/>
          <w:sz w:val="14"/>
        </w:rPr>
      </w:pPr>
    </w:p>
    <w:p w14:paraId="1C0C95FE" w14:textId="77777777" w:rsidR="00F2190C" w:rsidRDefault="00F2190C" w:rsidP="00F2190C">
      <w:pPr>
        <w:spacing w:before="94"/>
        <w:ind w:left="180"/>
        <w:rPr>
          <w:rFonts w:ascii="Arial"/>
          <w:spacing w:val="-1"/>
          <w:sz w:val="20"/>
        </w:rPr>
      </w:pPr>
      <w:bookmarkStart w:id="0" w:name="001_ACNC_GRA_Final_Report_2020_021921"/>
      <w:bookmarkStart w:id="1" w:name="00_ACNC_Annual_Report"/>
      <w:bookmarkEnd w:id="0"/>
      <w:bookmarkEnd w:id="1"/>
    </w:p>
    <w:p w14:paraId="29E2DF48" w14:textId="77777777" w:rsidR="00F2190C" w:rsidRPr="00F2190C" w:rsidRDefault="00F2190C" w:rsidP="00F2190C">
      <w:pPr>
        <w:spacing w:before="94"/>
        <w:rPr>
          <w:rFonts w:ascii="Arial"/>
          <w:b/>
          <w:bCs/>
          <w:sz w:val="20"/>
        </w:rPr>
      </w:pPr>
      <w:r w:rsidRPr="00F2190C">
        <w:rPr>
          <w:rFonts w:ascii="Arial"/>
          <w:b/>
          <w:bCs/>
          <w:spacing w:val="-1"/>
          <w:sz w:val="20"/>
        </w:rPr>
        <w:t>PRESIDENT</w:t>
      </w:r>
      <w:r w:rsidRPr="00F2190C">
        <w:rPr>
          <w:rFonts w:ascii="Arial"/>
          <w:b/>
          <w:bCs/>
          <w:spacing w:val="-12"/>
          <w:sz w:val="20"/>
        </w:rPr>
        <w:t xml:space="preserve"> </w:t>
      </w:r>
      <w:r w:rsidRPr="00F2190C">
        <w:rPr>
          <w:rFonts w:ascii="Arial"/>
          <w:b/>
          <w:bCs/>
          <w:spacing w:val="-1"/>
          <w:sz w:val="20"/>
        </w:rPr>
        <w:t>REPORT:</w:t>
      </w:r>
    </w:p>
    <w:p w14:paraId="03CED48D" w14:textId="64ED3480" w:rsidR="00F2190C" w:rsidRDefault="00F2190C" w:rsidP="00F2190C">
      <w:pPr>
        <w:spacing w:before="34"/>
        <w:ind w:left="180"/>
        <w:rPr>
          <w:rFonts w:ascii="Arial"/>
          <w:sz w:val="20"/>
        </w:rPr>
      </w:pPr>
      <w:r>
        <w:rPr>
          <w:rFonts w:ascii="Arial"/>
          <w:sz w:val="20"/>
        </w:rPr>
        <w:t xml:space="preserve">Annual General Meeting </w:t>
      </w:r>
      <w:r w:rsidR="00117D31">
        <w:rPr>
          <w:rFonts w:ascii="Arial"/>
          <w:sz w:val="20"/>
        </w:rPr>
        <w:t>05</w:t>
      </w:r>
      <w:r>
        <w:rPr>
          <w:rFonts w:ascii="Arial"/>
          <w:sz w:val="20"/>
        </w:rPr>
        <w:t>/01/2022</w:t>
      </w:r>
    </w:p>
    <w:p w14:paraId="30BCE583" w14:textId="44E6C867" w:rsidR="00F2190C" w:rsidRDefault="00F2190C" w:rsidP="00F2190C">
      <w:pPr>
        <w:spacing w:line="276" w:lineRule="auto"/>
        <w:ind w:left="179" w:right="179"/>
        <w:rPr>
          <w:rFonts w:ascii="Arial"/>
          <w:sz w:val="20"/>
        </w:rPr>
      </w:pPr>
      <w:r>
        <w:rPr>
          <w:rFonts w:ascii="Arial"/>
          <w:sz w:val="20"/>
        </w:rPr>
        <w:t>The AGM detailed many challenges that will need to be overcome in 2022 and beyond.</w:t>
      </w:r>
      <w:r>
        <w:rPr>
          <w:rFonts w:ascii="Arial"/>
          <w:sz w:val="20"/>
        </w:rPr>
        <w:br/>
        <w:t>There has been a shift towards online interaction due to border closures between states and a general lack of sustained mobility by all populations.</w:t>
      </w:r>
    </w:p>
    <w:p w14:paraId="59BDA695" w14:textId="77777777" w:rsidR="00F2190C" w:rsidRDefault="00F2190C" w:rsidP="00F2190C">
      <w:pPr>
        <w:spacing w:line="276" w:lineRule="auto"/>
        <w:ind w:left="179" w:right="179"/>
        <w:rPr>
          <w:rFonts w:ascii="Arial"/>
          <w:sz w:val="20"/>
        </w:rPr>
      </w:pPr>
      <w:r>
        <w:rPr>
          <w:rFonts w:ascii="Arial"/>
          <w:sz w:val="20"/>
        </w:rPr>
        <w:t>Public events have been cancelled and we will need to provide online seminars and discussion.</w:t>
      </w:r>
    </w:p>
    <w:p w14:paraId="5BAC93B8" w14:textId="77777777" w:rsidR="00F2190C" w:rsidRDefault="00F2190C" w:rsidP="00F2190C">
      <w:pPr>
        <w:spacing w:line="276" w:lineRule="auto"/>
        <w:ind w:left="179" w:right="179"/>
        <w:rPr>
          <w:rFonts w:ascii="Arial"/>
          <w:sz w:val="20"/>
        </w:rPr>
      </w:pPr>
      <w:r>
        <w:rPr>
          <w:rFonts w:ascii="Arial"/>
          <w:sz w:val="20"/>
        </w:rPr>
        <w:t>In 2021 our membership dramatically dropped as it did in 2020. Sponsorship has also declined due to the impacts on the commercial sector.</w:t>
      </w:r>
    </w:p>
    <w:p w14:paraId="06ABE1C6" w14:textId="77777777" w:rsidR="00F2190C" w:rsidRDefault="00F2190C" w:rsidP="00F2190C">
      <w:pPr>
        <w:spacing w:line="276" w:lineRule="auto"/>
        <w:ind w:left="179" w:right="179"/>
        <w:rPr>
          <w:rFonts w:ascii="Arial"/>
          <w:sz w:val="20"/>
        </w:rPr>
      </w:pPr>
      <w:r>
        <w:rPr>
          <w:rFonts w:ascii="Arial"/>
          <w:sz w:val="20"/>
        </w:rPr>
        <w:t xml:space="preserve">The combination of a decline in both membership and sponsorship resulted in our worst financial year. </w:t>
      </w:r>
    </w:p>
    <w:p w14:paraId="0B0119F0" w14:textId="77777777" w:rsidR="00F2190C" w:rsidRDefault="00F2190C" w:rsidP="00F2190C">
      <w:pPr>
        <w:spacing w:line="276" w:lineRule="auto"/>
        <w:ind w:left="179" w:right="179"/>
        <w:rPr>
          <w:rFonts w:ascii="Arial"/>
          <w:sz w:val="20"/>
        </w:rPr>
      </w:pPr>
      <w:r>
        <w:rPr>
          <w:rFonts w:ascii="Arial"/>
          <w:sz w:val="20"/>
        </w:rPr>
        <w:t xml:space="preserve">Our presence on social media platforms like Instagram, </w:t>
      </w:r>
      <w:proofErr w:type="spellStart"/>
      <w:r>
        <w:rPr>
          <w:rFonts w:ascii="Arial"/>
          <w:sz w:val="20"/>
        </w:rPr>
        <w:t>linkedin</w:t>
      </w:r>
      <w:proofErr w:type="spellEnd"/>
      <w:r>
        <w:rPr>
          <w:rFonts w:ascii="Arial"/>
          <w:sz w:val="20"/>
        </w:rPr>
        <w:t xml:space="preserve"> and </w:t>
      </w:r>
      <w:proofErr w:type="spellStart"/>
      <w:r>
        <w:rPr>
          <w:rFonts w:ascii="Arial"/>
          <w:sz w:val="20"/>
        </w:rPr>
        <w:t>facebook</w:t>
      </w:r>
      <w:proofErr w:type="spellEnd"/>
      <w:r>
        <w:rPr>
          <w:rFonts w:ascii="Arial"/>
          <w:sz w:val="20"/>
        </w:rPr>
        <w:t xml:space="preserve"> has remained consistent and grown over 2021. </w:t>
      </w:r>
      <w:proofErr w:type="gramStart"/>
      <w:r>
        <w:rPr>
          <w:rFonts w:ascii="Arial"/>
          <w:sz w:val="20"/>
        </w:rPr>
        <w:t>However</w:t>
      </w:r>
      <w:proofErr w:type="gramEnd"/>
      <w:r>
        <w:rPr>
          <w:rFonts w:ascii="Arial"/>
          <w:sz w:val="20"/>
        </w:rPr>
        <w:t xml:space="preserve"> we do not generate membership or sponsorship through these networks, so we will need to engage professional advice on how to achieve a financial benefit.</w:t>
      </w:r>
    </w:p>
    <w:p w14:paraId="444CB7B9" w14:textId="77777777" w:rsidR="00F2190C" w:rsidRDefault="00F2190C" w:rsidP="00F2190C">
      <w:pPr>
        <w:pStyle w:val="BodyText"/>
        <w:spacing w:before="10"/>
        <w:rPr>
          <w:rFonts w:ascii="Arial"/>
          <w:sz w:val="19"/>
        </w:rPr>
      </w:pPr>
    </w:p>
    <w:p w14:paraId="4E30FC23" w14:textId="77777777" w:rsidR="00F2190C" w:rsidRDefault="00F2190C" w:rsidP="00F2190C">
      <w:pPr>
        <w:spacing w:line="276" w:lineRule="auto"/>
        <w:ind w:left="179" w:right="152"/>
        <w:jc w:val="both"/>
        <w:rPr>
          <w:rFonts w:ascii="Arial"/>
          <w:sz w:val="20"/>
        </w:rPr>
      </w:pPr>
      <w:r>
        <w:rPr>
          <w:rFonts w:ascii="Arial"/>
          <w:sz w:val="20"/>
        </w:rPr>
        <w:t>GRA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member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Green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Infrastructure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Network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board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member,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report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vital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contacts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Agency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promoting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mission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key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proofErr w:type="gramStart"/>
      <w:r>
        <w:rPr>
          <w:rFonts w:ascii="Arial"/>
          <w:sz w:val="20"/>
        </w:rPr>
        <w:t>mitigate:-</w:t>
      </w:r>
      <w:proofErr w:type="gramEnd"/>
    </w:p>
    <w:p w14:paraId="4845B2F1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5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loss 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fauna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&amp;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flora</w:t>
      </w:r>
    </w:p>
    <w:p w14:paraId="34EE946E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31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loss 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homes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animal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habitat</w:t>
      </w:r>
    </w:p>
    <w:p w14:paraId="3FC10160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31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dangerous health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warnings for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air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quality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&amp; urban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heat</w:t>
      </w:r>
    </w:p>
    <w:p w14:paraId="6A5E894D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35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record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temperatures, drought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&amp;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precipitation</w:t>
      </w:r>
    </w:p>
    <w:p w14:paraId="47C64F79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31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natural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environment erosion</w:t>
      </w:r>
    </w:p>
    <w:p w14:paraId="1DE3C281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35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destruction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 natural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z w:val="20"/>
        </w:rPr>
        <w:t>habitat areas</w:t>
      </w:r>
    </w:p>
    <w:p w14:paraId="45A997C5" w14:textId="77777777" w:rsidR="00F2190C" w:rsidRDefault="00F2190C" w:rsidP="00F2190C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35"/>
        <w:ind w:hanging="361"/>
        <w:rPr>
          <w:rFonts w:ascii="Arial" w:hAnsi="Arial"/>
          <w:sz w:val="20"/>
        </w:rPr>
      </w:pPr>
      <w:r>
        <w:rPr>
          <w:rFonts w:ascii="Arial" w:hAnsi="Arial"/>
          <w:sz w:val="20"/>
        </w:rPr>
        <w:t>GHG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emissions</w:t>
      </w:r>
    </w:p>
    <w:p w14:paraId="1630304B" w14:textId="77777777" w:rsidR="00F2190C" w:rsidRDefault="00F2190C" w:rsidP="00F2190C">
      <w:pPr>
        <w:pStyle w:val="BodyText"/>
        <w:spacing w:before="3"/>
        <w:rPr>
          <w:rFonts w:ascii="Arial"/>
          <w:sz w:val="20"/>
        </w:rPr>
      </w:pPr>
    </w:p>
    <w:p w14:paraId="51B96AE9" w14:textId="77777777" w:rsidR="00F2190C" w:rsidRDefault="00F2190C" w:rsidP="00F2190C">
      <w:pPr>
        <w:ind w:left="223"/>
        <w:rPr>
          <w:rFonts w:ascii="Arial"/>
          <w:sz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ADVOCACY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2021</w:t>
      </w:r>
    </w:p>
    <w:p w14:paraId="5147594A" w14:textId="77777777" w:rsidR="00F2190C" w:rsidRDefault="00F2190C" w:rsidP="00F2190C">
      <w:pPr>
        <w:pStyle w:val="BodyText"/>
        <w:spacing w:before="4"/>
        <w:rPr>
          <w:rFonts w:ascii="Arial"/>
          <w:sz w:val="20"/>
        </w:rPr>
      </w:pPr>
    </w:p>
    <w:p w14:paraId="39395442" w14:textId="77777777" w:rsidR="00F2190C" w:rsidRDefault="00F2190C" w:rsidP="00F2190C">
      <w:pPr>
        <w:spacing w:line="278" w:lineRule="auto"/>
        <w:ind w:left="223" w:right="265"/>
        <w:rPr>
          <w:rFonts w:ascii="Arial"/>
          <w:sz w:val="20"/>
        </w:rPr>
      </w:pPr>
      <w:r>
        <w:rPr>
          <w:rFonts w:ascii="Arial"/>
          <w:sz w:val="20"/>
        </w:rPr>
        <w:t>GRA continued to provide assistance to the capital city governments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Sydney, Melbourne &amp; Brisbane by developing guidelines and policy strategies to support a greater</w:t>
      </w:r>
      <w:r>
        <w:rPr>
          <w:rFonts w:ascii="Arial"/>
          <w:spacing w:val="-53"/>
          <w:sz w:val="20"/>
        </w:rPr>
        <w:t xml:space="preserve">    </w:t>
      </w:r>
      <w:r>
        <w:rPr>
          <w:rFonts w:ascii="Arial"/>
          <w:sz w:val="20"/>
        </w:rPr>
        <w:t xml:space="preserve"> inclusion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 green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spaces within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urban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areas, specifically 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built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environment.</w:t>
      </w:r>
    </w:p>
    <w:p w14:paraId="676242CA" w14:textId="77777777" w:rsidR="00F2190C" w:rsidRDefault="00F2190C" w:rsidP="00F2190C">
      <w:pPr>
        <w:spacing w:before="196" w:line="276" w:lineRule="auto"/>
        <w:ind w:left="223" w:right="696"/>
        <w:rPr>
          <w:rFonts w:ascii="Arial"/>
          <w:sz w:val="20"/>
        </w:rPr>
      </w:pPr>
      <w:r>
        <w:rPr>
          <w:rFonts w:ascii="Arial"/>
          <w:sz w:val="20"/>
        </w:rPr>
        <w:t>GRA also provided free membership for the Institute of Landscape Architects (AILA) to support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professional development throughout Australasia. Free membership was also provided to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general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public.</w:t>
      </w:r>
    </w:p>
    <w:p w14:paraId="7FA047B3" w14:textId="1C1786E1" w:rsidR="00F2190C" w:rsidRDefault="00F2190C" w:rsidP="00F2190C">
      <w:pPr>
        <w:pStyle w:val="BodyText"/>
        <w:rPr>
          <w:rFonts w:ascii="Arial"/>
          <w:sz w:val="20"/>
        </w:rPr>
      </w:pPr>
    </w:p>
    <w:p w14:paraId="4D9E170A" w14:textId="77777777" w:rsidR="00F2190C" w:rsidRDefault="00F2190C" w:rsidP="00F2190C">
      <w:pPr>
        <w:pStyle w:val="BodyText"/>
        <w:rPr>
          <w:rFonts w:ascii="Arial"/>
          <w:sz w:val="20"/>
        </w:rPr>
      </w:pPr>
    </w:p>
    <w:p w14:paraId="42EB984F" w14:textId="77777777" w:rsidR="00F2190C" w:rsidRDefault="00F2190C" w:rsidP="00F2190C">
      <w:pPr>
        <w:pStyle w:val="BodyText"/>
        <w:ind w:left="145"/>
        <w:rPr>
          <w:rFonts w:ascii="Arial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47CFC0" wp14:editId="54F9D4C3">
            <wp:simplePos x="0" y="0"/>
            <wp:positionH relativeFrom="column">
              <wp:posOffset>0</wp:posOffset>
            </wp:positionH>
            <wp:positionV relativeFrom="paragraph">
              <wp:posOffset>7832</wp:posOffset>
            </wp:positionV>
            <wp:extent cx="3236768" cy="1223818"/>
            <wp:effectExtent l="0" t="0" r="1905" b="0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768" cy="122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EF952" w14:textId="77777777" w:rsidR="00F2190C" w:rsidRDefault="00F2190C" w:rsidP="00F2190C">
      <w:pPr>
        <w:pStyle w:val="BodyText"/>
        <w:spacing w:before="8"/>
      </w:pPr>
    </w:p>
    <w:p w14:paraId="01EFAAD7" w14:textId="77777777" w:rsidR="00F2190C" w:rsidRDefault="00F2190C" w:rsidP="00F2190C">
      <w:pPr>
        <w:spacing w:line="278" w:lineRule="auto"/>
        <w:ind w:left="180" w:right="741" w:hanging="1"/>
        <w:rPr>
          <w:rFonts w:ascii="Arial" w:hAnsi="Arial"/>
          <w:b/>
          <w:color w:val="303030"/>
          <w:sz w:val="31"/>
        </w:rPr>
      </w:pPr>
    </w:p>
    <w:p w14:paraId="6279AABB" w14:textId="77777777" w:rsidR="00F2190C" w:rsidRDefault="00F2190C" w:rsidP="00F2190C">
      <w:pPr>
        <w:spacing w:line="278" w:lineRule="auto"/>
        <w:ind w:left="180" w:right="741" w:hanging="1"/>
        <w:rPr>
          <w:rFonts w:ascii="Arial" w:hAnsi="Arial"/>
          <w:b/>
          <w:color w:val="303030"/>
          <w:sz w:val="31"/>
        </w:rPr>
      </w:pPr>
    </w:p>
    <w:p w14:paraId="7097C3B7" w14:textId="77777777" w:rsidR="00F2190C" w:rsidRDefault="00F2190C" w:rsidP="00F2190C">
      <w:pPr>
        <w:spacing w:line="278" w:lineRule="auto"/>
        <w:ind w:left="180" w:right="741" w:hanging="1"/>
        <w:rPr>
          <w:rFonts w:ascii="Arial" w:hAnsi="Arial"/>
          <w:b/>
          <w:color w:val="303030"/>
          <w:sz w:val="31"/>
        </w:rPr>
      </w:pPr>
    </w:p>
    <w:p w14:paraId="093C3706" w14:textId="77777777" w:rsidR="00F2190C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</w:p>
    <w:p w14:paraId="458D6C9D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EB4E72">
        <w:rPr>
          <w:rFonts w:ascii="Arial" w:hAnsi="Arial"/>
          <w:bCs/>
          <w:color w:val="303030"/>
          <w:sz w:val="20"/>
          <w:szCs w:val="20"/>
        </w:rPr>
        <w:t>AGM KEY MOTIONS PASSED by QUORUM</w:t>
      </w:r>
    </w:p>
    <w:p w14:paraId="5D8CA590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</w:p>
    <w:p w14:paraId="77B8800B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EB4E72">
        <w:rPr>
          <w:rFonts w:ascii="Arial" w:hAnsi="Arial"/>
          <w:bCs/>
          <w:color w:val="303030"/>
          <w:sz w:val="20"/>
          <w:szCs w:val="20"/>
        </w:rPr>
        <w:t>•</w:t>
      </w:r>
      <w:r w:rsidRPr="00EB4E72">
        <w:rPr>
          <w:rFonts w:ascii="Arial" w:hAnsi="Arial"/>
          <w:bCs/>
          <w:color w:val="303030"/>
          <w:sz w:val="20"/>
          <w:szCs w:val="20"/>
        </w:rPr>
        <w:tab/>
        <w:t>To expand our mission to include green infrastructure. This will diversify our sponsor target group to also include all landscaping services within the commercial sector.</w:t>
      </w:r>
    </w:p>
    <w:p w14:paraId="7C151410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EB4E72">
        <w:rPr>
          <w:rFonts w:ascii="Arial" w:hAnsi="Arial"/>
          <w:bCs/>
          <w:color w:val="303030"/>
          <w:sz w:val="20"/>
          <w:szCs w:val="20"/>
        </w:rPr>
        <w:t>•</w:t>
      </w:r>
      <w:r w:rsidRPr="00EB4E72">
        <w:rPr>
          <w:rFonts w:ascii="Arial" w:hAnsi="Arial"/>
          <w:bCs/>
          <w:color w:val="303030"/>
          <w:sz w:val="20"/>
          <w:szCs w:val="20"/>
        </w:rPr>
        <w:tab/>
        <w:t>To expand our website service with podcasts; blogs and online seminars. This will improve our industry reach and improve membership.</w:t>
      </w:r>
    </w:p>
    <w:p w14:paraId="4FAFA392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EB4E72">
        <w:rPr>
          <w:rFonts w:ascii="Arial" w:hAnsi="Arial"/>
          <w:bCs/>
          <w:color w:val="303030"/>
          <w:sz w:val="20"/>
          <w:szCs w:val="20"/>
        </w:rPr>
        <w:t>•</w:t>
      </w:r>
      <w:r w:rsidRPr="00EB4E72">
        <w:rPr>
          <w:rFonts w:ascii="Arial" w:hAnsi="Arial"/>
          <w:bCs/>
          <w:color w:val="303030"/>
          <w:sz w:val="20"/>
          <w:szCs w:val="20"/>
        </w:rPr>
        <w:tab/>
        <w:t>To engage a social media employee.</w:t>
      </w:r>
    </w:p>
    <w:p w14:paraId="2022F853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EB4E72">
        <w:rPr>
          <w:rFonts w:ascii="Arial" w:hAnsi="Arial"/>
          <w:bCs/>
          <w:color w:val="303030"/>
          <w:sz w:val="20"/>
          <w:szCs w:val="20"/>
        </w:rPr>
        <w:t>•</w:t>
      </w:r>
      <w:r w:rsidRPr="00EB4E72">
        <w:rPr>
          <w:rFonts w:ascii="Arial" w:hAnsi="Arial"/>
          <w:bCs/>
          <w:color w:val="303030"/>
          <w:sz w:val="20"/>
          <w:szCs w:val="20"/>
        </w:rPr>
        <w:tab/>
        <w:t>To engage an association secretary rather than relying on a volunteer.</w:t>
      </w:r>
    </w:p>
    <w:p w14:paraId="789D4B49" w14:textId="77777777" w:rsidR="00F2190C" w:rsidRPr="00EB4E72" w:rsidRDefault="00F2190C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EB4E72">
        <w:rPr>
          <w:rFonts w:ascii="Arial" w:hAnsi="Arial"/>
          <w:bCs/>
          <w:color w:val="303030"/>
          <w:sz w:val="20"/>
          <w:szCs w:val="20"/>
        </w:rPr>
        <w:t>•</w:t>
      </w:r>
      <w:r w:rsidRPr="00EB4E72">
        <w:rPr>
          <w:rFonts w:ascii="Arial" w:hAnsi="Arial"/>
          <w:bCs/>
          <w:color w:val="303030"/>
          <w:sz w:val="20"/>
          <w:szCs w:val="20"/>
        </w:rPr>
        <w:tab/>
        <w:t>To provide free membership to all industry sectors.</w:t>
      </w:r>
    </w:p>
    <w:p w14:paraId="455E2622" w14:textId="77777777" w:rsidR="00F2190C" w:rsidRDefault="00F2190C" w:rsidP="00F2190C">
      <w:pPr>
        <w:spacing w:line="278" w:lineRule="auto"/>
        <w:ind w:right="741"/>
        <w:rPr>
          <w:rFonts w:ascii="Arial" w:hAnsi="Arial"/>
          <w:bCs/>
          <w:color w:val="303030"/>
          <w:sz w:val="20"/>
          <w:szCs w:val="20"/>
        </w:rPr>
      </w:pPr>
    </w:p>
    <w:p w14:paraId="47E9AE82" w14:textId="77777777" w:rsidR="00F2190C" w:rsidRDefault="00F2190C" w:rsidP="00F2190C">
      <w:pPr>
        <w:spacing w:line="278" w:lineRule="auto"/>
        <w:ind w:right="741" w:firstLine="179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NEW COMMITEES</w:t>
      </w:r>
    </w:p>
    <w:p w14:paraId="6AD887FE" w14:textId="77777777" w:rsidR="00F2190C" w:rsidRDefault="00F2190C" w:rsidP="00F2190C">
      <w:pPr>
        <w:spacing w:line="278" w:lineRule="auto"/>
        <w:ind w:right="741" w:firstLine="179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 xml:space="preserve">Sponsorship Committee: </w:t>
      </w:r>
      <w:r w:rsidRPr="00EB4E72">
        <w:rPr>
          <w:rFonts w:ascii="Arial" w:hAnsi="Arial"/>
          <w:bCs/>
          <w:color w:val="303030"/>
          <w:sz w:val="20"/>
          <w:szCs w:val="20"/>
        </w:rPr>
        <w:t>To review our sponsorship fees and benefits.</w:t>
      </w:r>
    </w:p>
    <w:p w14:paraId="0FE60227" w14:textId="77777777" w:rsidR="00F2190C" w:rsidRDefault="00F2190C" w:rsidP="00F2190C">
      <w:pPr>
        <w:spacing w:line="278" w:lineRule="auto"/>
        <w:ind w:right="741" w:firstLine="179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Marketing Committee: To determine new marketing strategies.</w:t>
      </w:r>
    </w:p>
    <w:p w14:paraId="05ED54C8" w14:textId="77777777" w:rsidR="00F2190C" w:rsidRPr="00EB4E72" w:rsidRDefault="00F2190C" w:rsidP="00F2190C">
      <w:pPr>
        <w:spacing w:line="278" w:lineRule="auto"/>
        <w:ind w:left="179" w:right="741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Research Committee: To increase our associations as a stakeholder and to collect new data.</w:t>
      </w:r>
    </w:p>
    <w:p w14:paraId="7CDA427C" w14:textId="64A2F53A" w:rsidR="00F2190C" w:rsidRDefault="00F2190C" w:rsidP="00F2190C">
      <w:pPr>
        <w:spacing w:line="278" w:lineRule="auto"/>
        <w:ind w:left="180" w:right="741" w:hanging="1"/>
        <w:rPr>
          <w:rFonts w:ascii="Arial" w:hAnsi="Arial"/>
          <w:b/>
          <w:color w:val="303030"/>
          <w:sz w:val="31"/>
        </w:rPr>
      </w:pPr>
    </w:p>
    <w:p w14:paraId="5AA69BCB" w14:textId="39D1F9FC" w:rsidR="00F2190C" w:rsidRDefault="004F2DA7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 w:rsidRPr="004F2DA7">
        <w:rPr>
          <w:rFonts w:ascii="Arial" w:hAnsi="Arial"/>
          <w:bCs/>
          <w:color w:val="303030"/>
          <w:sz w:val="20"/>
          <w:szCs w:val="20"/>
        </w:rPr>
        <w:t>CONCLUSION</w:t>
      </w:r>
    </w:p>
    <w:p w14:paraId="4770056C" w14:textId="2FC9F0F5" w:rsidR="004F2DA7" w:rsidRDefault="004F2DA7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Thank you to all our loyal volunteers, members and sponsors for supporting GRA through our most challenging year since formation in 2008.</w:t>
      </w:r>
    </w:p>
    <w:p w14:paraId="712DC184" w14:textId="50861F9E" w:rsidR="004F2DA7" w:rsidRDefault="004F2DA7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Regards</w:t>
      </w:r>
    </w:p>
    <w:p w14:paraId="4477D866" w14:textId="300F473B" w:rsidR="004F2DA7" w:rsidRDefault="004F2DA7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Matthew Dillon</w:t>
      </w:r>
    </w:p>
    <w:p w14:paraId="552C73BB" w14:textId="5FB22F60" w:rsidR="004F2DA7" w:rsidRPr="004F2DA7" w:rsidRDefault="004F2DA7" w:rsidP="00F2190C">
      <w:pPr>
        <w:spacing w:line="278" w:lineRule="auto"/>
        <w:ind w:left="180" w:right="741" w:hanging="1"/>
        <w:rPr>
          <w:rFonts w:ascii="Arial" w:hAnsi="Arial"/>
          <w:bCs/>
          <w:color w:val="303030"/>
          <w:sz w:val="20"/>
          <w:szCs w:val="20"/>
        </w:rPr>
      </w:pPr>
      <w:r>
        <w:rPr>
          <w:rFonts w:ascii="Arial" w:hAnsi="Arial"/>
          <w:bCs/>
          <w:color w:val="303030"/>
          <w:sz w:val="20"/>
          <w:szCs w:val="20"/>
        </w:rPr>
        <w:t>GRA President</w:t>
      </w:r>
    </w:p>
    <w:p w14:paraId="5C359A56" w14:textId="77777777" w:rsidR="00F2190C" w:rsidRDefault="00F2190C" w:rsidP="00F2190C">
      <w:pPr>
        <w:spacing w:line="278" w:lineRule="auto"/>
        <w:ind w:left="180" w:right="741" w:hanging="1"/>
        <w:rPr>
          <w:rFonts w:ascii="Arial" w:hAnsi="Arial"/>
          <w:b/>
          <w:color w:val="303030"/>
          <w:sz w:val="31"/>
        </w:rPr>
      </w:pPr>
    </w:p>
    <w:p w14:paraId="302BBB70" w14:textId="77777777" w:rsidR="0045185D" w:rsidRDefault="0045185D"/>
    <w:sectPr w:rsidR="0045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4514"/>
    <w:multiLevelType w:val="hybridMultilevel"/>
    <w:tmpl w:val="BBE2474A"/>
    <w:lvl w:ilvl="0" w:tplc="5F781AC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50EAA03A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4B763FB2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1764CE30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C07CEC56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49E084D6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6DA4A8AC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4B1A7434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8AC8BC7E">
      <w:numFmt w:val="bullet"/>
      <w:lvlText w:val="•"/>
      <w:lvlJc w:val="left"/>
      <w:pPr>
        <w:ind w:left="76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0C"/>
    <w:rsid w:val="00117D31"/>
    <w:rsid w:val="0045185D"/>
    <w:rsid w:val="004F2DA7"/>
    <w:rsid w:val="00F2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C93B"/>
  <w15:chartTrackingRefBased/>
  <w15:docId w15:val="{D7871DD2-6C54-483B-A28A-39282086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1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190C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F2190C"/>
    <w:pPr>
      <w:widowControl w:val="0"/>
      <w:autoSpaceDE w:val="0"/>
      <w:autoSpaceDN w:val="0"/>
      <w:spacing w:after="0" w:line="240" w:lineRule="auto"/>
      <w:ind w:left="942" w:hanging="36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dillon</dc:creator>
  <cp:keywords/>
  <dc:description/>
  <cp:lastModifiedBy>matt dillon</cp:lastModifiedBy>
  <cp:revision>3</cp:revision>
  <dcterms:created xsi:type="dcterms:W3CDTF">2022-03-07T07:14:00Z</dcterms:created>
  <dcterms:modified xsi:type="dcterms:W3CDTF">2022-03-21T05:12:00Z</dcterms:modified>
</cp:coreProperties>
</file>